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64BF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906A60">
        <w:rPr>
          <w:sz w:val="30"/>
          <w:szCs w:val="30"/>
        </w:rPr>
        <w:t xml:space="preserve">      </w:t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  <w:u w:val="single"/>
        </w:rPr>
        <w:t>Soc 3290 Deviance</w:t>
      </w:r>
    </w:p>
    <w:p w:rsidR="00000000" w:rsidRDefault="00BE64BF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  <w:u w:val="single"/>
        </w:rPr>
        <w:t>Overheads Lecture 20: Victims as Deviants?</w:t>
      </w:r>
      <w:r>
        <w:rPr>
          <w:sz w:val="30"/>
          <w:szCs w:val="30"/>
        </w:rPr>
        <w:tab/>
      </w:r>
    </w:p>
    <w:p w:rsidR="00000000" w:rsidRDefault="00BE64BF">
      <w:pPr>
        <w:rPr>
          <w:sz w:val="30"/>
          <w:szCs w:val="30"/>
        </w:rPr>
      </w:pPr>
    </w:p>
    <w:p w:rsidR="00000000" w:rsidRDefault="00BE64BF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(i) The Problem:</w:t>
      </w:r>
      <w:r>
        <w:rPr>
          <w:sz w:val="30"/>
          <w:szCs w:val="30"/>
        </w:rPr>
        <w:t xml:space="preserve">  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* Labelling theory tends to focus largely on the offender. </w:t>
      </w: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* Implicit concern for the social situation as a whole. </w:t>
      </w: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* This logically includes the victim of crime.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ab/>
      </w:r>
      <w:r>
        <w:rPr>
          <w:b/>
          <w:bCs/>
          <w:sz w:val="30"/>
          <w:szCs w:val="30"/>
          <w:lang w:val="en-GB"/>
        </w:rPr>
        <w:tab/>
      </w:r>
      <w:r>
        <w:rPr>
          <w:b/>
          <w:bCs/>
          <w:sz w:val="30"/>
          <w:szCs w:val="30"/>
          <w:lang w:val="en-GB"/>
        </w:rPr>
        <w:tab/>
      </w:r>
      <w:r>
        <w:rPr>
          <w:b/>
          <w:bCs/>
          <w:sz w:val="30"/>
          <w:szCs w:val="30"/>
          <w:lang w:val="en-GB"/>
        </w:rPr>
        <w:tab/>
        <w:t>(ii) Literature:</w:t>
      </w:r>
      <w:r>
        <w:rPr>
          <w:sz w:val="30"/>
          <w:szCs w:val="30"/>
          <w:lang w:val="en-GB"/>
        </w:rPr>
        <w:t xml:space="preserve"> 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* Taylor, Wood and Lichtman (1983) discuss many labelling concepts in terms of the sympathetic - and not so sympathetic - treatment of victims </w:t>
      </w:r>
      <w:r>
        <w:rPr>
          <w:i/>
          <w:iCs/>
          <w:sz w:val="30"/>
          <w:szCs w:val="30"/>
          <w:lang w:val="en-GB"/>
        </w:rPr>
        <w:t xml:space="preserve">as victims, </w:t>
      </w:r>
      <w:r>
        <w:rPr>
          <w:sz w:val="30"/>
          <w:szCs w:val="30"/>
          <w:lang w:val="en-GB"/>
        </w:rPr>
        <w:t xml:space="preserve">and their </w:t>
      </w:r>
      <w:r>
        <w:rPr>
          <w:i/>
          <w:iCs/>
          <w:sz w:val="30"/>
          <w:szCs w:val="30"/>
          <w:lang w:val="en-GB"/>
        </w:rPr>
        <w:t>responses</w:t>
      </w:r>
      <w:r>
        <w:rPr>
          <w:sz w:val="30"/>
          <w:szCs w:val="30"/>
          <w:lang w:val="en-GB"/>
        </w:rPr>
        <w:t xml:space="preserve"> thereto (e</w:t>
      </w:r>
      <w:r>
        <w:rPr>
          <w:sz w:val="30"/>
          <w:szCs w:val="30"/>
          <w:lang w:val="en-GB"/>
        </w:rPr>
        <w:t xml:space="preserve">.g. primary and secondary victimization). 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* Wortman and Lehman (1983) discuss social responses to victims of life crises. Findings: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ab/>
        <w:t xml:space="preserve">(i) others often hold </w:t>
      </w:r>
      <w:r>
        <w:rPr>
          <w:i/>
          <w:iCs/>
          <w:sz w:val="30"/>
          <w:szCs w:val="30"/>
          <w:lang w:val="en-GB"/>
        </w:rPr>
        <w:t>negative feelings</w:t>
      </w:r>
      <w:r>
        <w:rPr>
          <w:sz w:val="30"/>
          <w:szCs w:val="30"/>
          <w:lang w:val="en-GB"/>
        </w:rPr>
        <w:t xml:space="preserve"> about victims</w:t>
      </w: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ab/>
        <w:t xml:space="preserve">(ii) experience a great deal of </w:t>
      </w:r>
      <w:r>
        <w:rPr>
          <w:i/>
          <w:iCs/>
          <w:sz w:val="30"/>
          <w:szCs w:val="30"/>
          <w:lang w:val="en-GB"/>
        </w:rPr>
        <w:t>uncertainty</w:t>
      </w:r>
      <w:r>
        <w:rPr>
          <w:sz w:val="30"/>
          <w:szCs w:val="30"/>
          <w:lang w:val="en-GB"/>
        </w:rPr>
        <w:t xml:space="preserve"> about how to respond</w:t>
      </w: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ab/>
        <w:t xml:space="preserve">(iii) hold </w:t>
      </w:r>
      <w:r>
        <w:rPr>
          <w:i/>
          <w:iCs/>
          <w:sz w:val="30"/>
          <w:szCs w:val="30"/>
          <w:lang w:val="en-GB"/>
        </w:rPr>
        <w:t>misconceptions</w:t>
      </w:r>
      <w:r>
        <w:rPr>
          <w:sz w:val="30"/>
          <w:szCs w:val="30"/>
          <w:lang w:val="en-GB"/>
        </w:rPr>
        <w:t xml:space="preserve"> about how victims should react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* Individuals engage in three types of ostensibly supportive behaviors: 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ab/>
        <w:t>(i) discourage open expression</w:t>
      </w: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ab/>
        <w:t>(ii) encourage recovery</w:t>
      </w: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    </w:t>
      </w:r>
      <w:r w:rsidR="00906A60">
        <w:rPr>
          <w:sz w:val="30"/>
          <w:szCs w:val="30"/>
          <w:lang w:val="en-GB"/>
        </w:rPr>
        <w:t xml:space="preserve"> </w:t>
      </w:r>
      <w:r>
        <w:rPr>
          <w:sz w:val="30"/>
          <w:szCs w:val="30"/>
          <w:lang w:val="en-GB"/>
        </w:rPr>
        <w:t>(iii) fall back on</w:t>
      </w:r>
      <w:r>
        <w:rPr>
          <w:i/>
          <w:iCs/>
          <w:sz w:val="30"/>
          <w:szCs w:val="30"/>
          <w:lang w:val="en-GB"/>
        </w:rPr>
        <w:t xml:space="preserve"> </w:t>
      </w:r>
      <w:r>
        <w:rPr>
          <w:sz w:val="30"/>
          <w:szCs w:val="30"/>
          <w:lang w:val="en-GB"/>
        </w:rPr>
        <w:t>automatic or scripted support attempts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* Victims may feel these ineffective and harmful because: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ab/>
        <w:t>(i) they encourage isolation with one’s thoughts</w:t>
      </w: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ab/>
        <w:t xml:space="preserve">(ii) they dismiss victims’ feelings as unimportant  </w:t>
      </w: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ab/>
        <w:t>(iii) imply victim should not feel as bad as s/he does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* Research backs this up (e.g. infant deaths/ victims losing friends)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tabs>
          <w:tab w:val="left" w:pos="720"/>
          <w:tab w:val="left" w:pos="1440"/>
          <w:tab w:val="left" w:pos="2160"/>
        </w:tabs>
        <w:ind w:left="2160" w:hanging="2160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lastRenderedPageBreak/>
        <w:tab/>
      </w:r>
      <w:r>
        <w:rPr>
          <w:sz w:val="30"/>
          <w:szCs w:val="30"/>
          <w:lang w:val="en-GB"/>
        </w:rPr>
        <w:tab/>
      </w:r>
      <w:r>
        <w:rPr>
          <w:sz w:val="30"/>
          <w:szCs w:val="30"/>
          <w:lang w:val="en-GB"/>
        </w:rPr>
        <w:tab/>
      </w:r>
      <w:r w:rsidR="00906A60">
        <w:rPr>
          <w:sz w:val="30"/>
          <w:szCs w:val="30"/>
          <w:lang w:val="en-GB"/>
        </w:rPr>
        <w:t xml:space="preserve">      </w:t>
      </w:r>
      <w:r>
        <w:rPr>
          <w:b/>
          <w:bCs/>
          <w:sz w:val="30"/>
          <w:szCs w:val="30"/>
          <w:lang w:val="en-GB"/>
        </w:rPr>
        <w:t>(iii) Theoretical Discussion: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* Most broadly crime victims can be reacted to as (a) </w:t>
      </w:r>
      <w:r>
        <w:rPr>
          <w:i/>
          <w:iCs/>
          <w:sz w:val="30"/>
          <w:szCs w:val="30"/>
          <w:lang w:val="en-GB"/>
        </w:rPr>
        <w:t>victims</w:t>
      </w:r>
      <w:r>
        <w:rPr>
          <w:sz w:val="30"/>
          <w:szCs w:val="30"/>
          <w:lang w:val="en-GB"/>
        </w:rPr>
        <w:t xml:space="preserve"> or (b) </w:t>
      </w:r>
      <w:r>
        <w:rPr>
          <w:i/>
          <w:iCs/>
          <w:sz w:val="30"/>
          <w:szCs w:val="30"/>
          <w:lang w:val="en-GB"/>
        </w:rPr>
        <w:t>deviants</w:t>
      </w:r>
      <w:r>
        <w:rPr>
          <w:sz w:val="30"/>
          <w:szCs w:val="30"/>
          <w:lang w:val="en-GB"/>
        </w:rPr>
        <w:t xml:space="preserve">. 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* The label of </w:t>
      </w:r>
      <w:r>
        <w:rPr>
          <w:i/>
          <w:iCs/>
          <w:sz w:val="30"/>
          <w:szCs w:val="30"/>
          <w:lang w:val="en-GB"/>
        </w:rPr>
        <w:t>victim</w:t>
      </w:r>
      <w:r>
        <w:rPr>
          <w:sz w:val="30"/>
          <w:szCs w:val="30"/>
          <w:lang w:val="en-GB"/>
        </w:rPr>
        <w:t xml:space="preserve"> has </w:t>
      </w:r>
      <w:r>
        <w:rPr>
          <w:i/>
          <w:iCs/>
          <w:sz w:val="30"/>
          <w:szCs w:val="30"/>
          <w:lang w:val="en-GB"/>
        </w:rPr>
        <w:t>three possible trajectories</w:t>
      </w:r>
      <w:r>
        <w:rPr>
          <w:sz w:val="30"/>
          <w:szCs w:val="30"/>
          <w:lang w:val="en-GB"/>
        </w:rPr>
        <w:t xml:space="preserve">: 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    1. Victim</w:t>
      </w:r>
      <w:r>
        <w:rPr>
          <w:sz w:val="30"/>
          <w:szCs w:val="30"/>
          <w:lang w:val="en-GB"/>
        </w:rPr>
        <w:t xml:space="preserve">s may be reacted to as such, ascribed sympathy, and be offered unconstrained, accommodative support. 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    2. Victims may be reacted to as such, ascribed sympathy, but others respond in ways indicating uncertainty or misconceptions about interaction.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   3</w:t>
      </w:r>
      <w:r>
        <w:rPr>
          <w:sz w:val="30"/>
          <w:szCs w:val="30"/>
          <w:lang w:val="en-GB"/>
        </w:rPr>
        <w:t>. Victims may be reacted to as such, initially ascribed sympathy, but others eventually may stigmatize them as “helpless victims” unable to cope.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  As for labelling as </w:t>
      </w:r>
      <w:r>
        <w:rPr>
          <w:i/>
          <w:iCs/>
          <w:sz w:val="30"/>
          <w:szCs w:val="30"/>
          <w:lang w:val="en-GB"/>
        </w:rPr>
        <w:t>deviants</w:t>
      </w:r>
      <w:r>
        <w:rPr>
          <w:sz w:val="30"/>
          <w:szCs w:val="30"/>
          <w:lang w:val="en-GB"/>
        </w:rPr>
        <w:t>, victims may experience this in two ways: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   1. Victims may be reacted to as </w:t>
      </w:r>
      <w:r>
        <w:rPr>
          <w:sz w:val="30"/>
          <w:szCs w:val="30"/>
          <w:lang w:val="en-GB"/>
        </w:rPr>
        <w:t>“emotional deviants” (Thoits, 1990) as the result of their “inappropriate” emotions in a particular social context (e.g. at a party).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   2. Victims may be stigmatized as deviants who are blamed for their plight in the first place (e.g. drug dealers who su</w:t>
      </w:r>
      <w:r>
        <w:rPr>
          <w:sz w:val="30"/>
          <w:szCs w:val="30"/>
          <w:lang w:val="en-GB"/>
        </w:rPr>
        <w:t>ffer an assault).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* Issues of </w:t>
      </w:r>
      <w:r>
        <w:rPr>
          <w:i/>
          <w:iCs/>
          <w:sz w:val="30"/>
          <w:szCs w:val="30"/>
          <w:lang w:val="en-GB"/>
        </w:rPr>
        <w:t>sympathy</w:t>
      </w:r>
      <w:r>
        <w:rPr>
          <w:sz w:val="30"/>
          <w:szCs w:val="30"/>
          <w:lang w:val="en-GB"/>
        </w:rPr>
        <w:t xml:space="preserve"> and </w:t>
      </w:r>
      <w:r>
        <w:rPr>
          <w:i/>
          <w:iCs/>
          <w:sz w:val="30"/>
          <w:szCs w:val="30"/>
          <w:lang w:val="en-GB"/>
        </w:rPr>
        <w:t>stigmatization</w:t>
      </w:r>
      <w:r>
        <w:rPr>
          <w:sz w:val="30"/>
          <w:szCs w:val="30"/>
          <w:lang w:val="en-GB"/>
        </w:rPr>
        <w:t xml:space="preserve"> are important matters not only for distinguishing between the labels of </w:t>
      </w:r>
      <w:r>
        <w:rPr>
          <w:i/>
          <w:iCs/>
          <w:sz w:val="30"/>
          <w:szCs w:val="30"/>
          <w:lang w:val="en-GB"/>
        </w:rPr>
        <w:t>victim and deviant</w:t>
      </w:r>
      <w:r>
        <w:rPr>
          <w:sz w:val="30"/>
          <w:szCs w:val="30"/>
          <w:lang w:val="en-GB"/>
        </w:rPr>
        <w:t xml:space="preserve">, but </w:t>
      </w:r>
      <w:r>
        <w:rPr>
          <w:i/>
          <w:iCs/>
          <w:sz w:val="30"/>
          <w:szCs w:val="30"/>
          <w:lang w:val="en-GB"/>
        </w:rPr>
        <w:t>also between the various responses to victims</w:t>
      </w:r>
      <w:r>
        <w:rPr>
          <w:sz w:val="30"/>
          <w:szCs w:val="30"/>
          <w:lang w:val="en-GB"/>
        </w:rPr>
        <w:t xml:space="preserve">. 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* This revolves around Candace Clark’s concept of “s</w:t>
      </w:r>
      <w:r>
        <w:rPr>
          <w:sz w:val="30"/>
          <w:szCs w:val="30"/>
          <w:lang w:val="en-GB"/>
        </w:rPr>
        <w:t>ympathy margin” - the limited amount of sympathy worthiness one is ascribed - which is continually renegotiated, and which may be used up.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* According to Clark, those who follow the “rules of sympathy etiquette”</w:t>
      </w:r>
      <w:r>
        <w:rPr>
          <w:sz w:val="30"/>
          <w:szCs w:val="30"/>
          <w:lang w:val="en-GB"/>
        </w:rPr>
        <w:t xml:space="preserve"> are ascribed more sympathy than those who do not.</w:t>
      </w:r>
    </w:p>
    <w:p w:rsidR="00000000" w:rsidRDefault="00BE64BF">
      <w:pPr>
        <w:rPr>
          <w:sz w:val="30"/>
          <w:szCs w:val="30"/>
          <w:lang w:val="en-GB"/>
        </w:rPr>
      </w:pPr>
    </w:p>
    <w:p w:rsidR="00000000" w:rsidRDefault="00BE64BF">
      <w:pPr>
        <w:rPr>
          <w:sz w:val="30"/>
          <w:szCs w:val="30"/>
          <w:lang w:val="en-US"/>
        </w:rPr>
      </w:pPr>
      <w:r>
        <w:rPr>
          <w:sz w:val="30"/>
          <w:szCs w:val="30"/>
          <w:lang w:val="en-GB"/>
        </w:rPr>
        <w:t xml:space="preserve">* Important to examine the responses or </w:t>
      </w:r>
      <w:r>
        <w:rPr>
          <w:i/>
          <w:iCs/>
          <w:sz w:val="30"/>
          <w:szCs w:val="30"/>
          <w:lang w:val="en-US"/>
        </w:rPr>
        <w:t>careers</w:t>
      </w:r>
      <w:r>
        <w:rPr>
          <w:sz w:val="30"/>
          <w:szCs w:val="30"/>
          <w:lang w:val="en-US"/>
        </w:rPr>
        <w:t xml:space="preserve"> of those so labelled. </w:t>
      </w:r>
    </w:p>
    <w:p w:rsidR="00000000" w:rsidRDefault="00BE64BF">
      <w:pPr>
        <w:rPr>
          <w:sz w:val="30"/>
          <w:szCs w:val="30"/>
          <w:lang w:val="en-US"/>
        </w:rPr>
      </w:pPr>
    </w:p>
    <w:p w:rsidR="00000000" w:rsidRDefault="00BE64BF">
      <w:pPr>
        <w:rPr>
          <w:b/>
          <w:bCs/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 xml:space="preserve">* May elaborate a </w:t>
      </w:r>
      <w:r>
        <w:rPr>
          <w:i/>
          <w:iCs/>
          <w:sz w:val="30"/>
          <w:szCs w:val="30"/>
          <w:lang w:val="en-US"/>
        </w:rPr>
        <w:t>parallel labelling process</w:t>
      </w:r>
      <w:r>
        <w:rPr>
          <w:sz w:val="30"/>
          <w:szCs w:val="30"/>
          <w:lang w:val="en-US"/>
        </w:rPr>
        <w:t xml:space="preserve"> for victims. </w:t>
      </w:r>
    </w:p>
    <w:p w:rsidR="00000000" w:rsidRDefault="00BE64BF">
      <w:pPr>
        <w:rPr>
          <w:b/>
          <w:bCs/>
          <w:sz w:val="30"/>
          <w:szCs w:val="30"/>
          <w:lang w:val="en-US"/>
        </w:rPr>
      </w:pPr>
    </w:p>
    <w:p w:rsidR="00000000" w:rsidRDefault="00BE64BF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ab/>
      </w:r>
      <w:r w:rsidR="00906A60">
        <w:rPr>
          <w:b/>
          <w:bCs/>
          <w:sz w:val="30"/>
          <w:szCs w:val="30"/>
          <w:lang w:val="en-US"/>
        </w:rPr>
        <w:t xml:space="preserve">    </w:t>
      </w:r>
      <w:r>
        <w:rPr>
          <w:b/>
          <w:bCs/>
          <w:sz w:val="30"/>
          <w:szCs w:val="30"/>
          <w:lang w:val="en-US"/>
        </w:rPr>
        <w:t>(iii) Methodology:</w:t>
      </w:r>
      <w:r>
        <w:rPr>
          <w:sz w:val="30"/>
          <w:szCs w:val="30"/>
          <w:lang w:val="en-US"/>
        </w:rPr>
        <w:t xml:space="preserve"> </w:t>
      </w:r>
    </w:p>
    <w:p w:rsidR="00000000" w:rsidRDefault="00BE64BF">
      <w:pPr>
        <w:rPr>
          <w:sz w:val="30"/>
          <w:szCs w:val="30"/>
          <w:lang w:val="en-US"/>
        </w:rPr>
      </w:pPr>
    </w:p>
    <w:p w:rsidR="00000000" w:rsidRDefault="00BE64BF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*This study involved the collection, transcript</w:t>
      </w:r>
      <w:r>
        <w:rPr>
          <w:sz w:val="30"/>
          <w:szCs w:val="30"/>
          <w:lang w:val="en-US"/>
        </w:rPr>
        <w:t>ion, and analysis of:</w:t>
      </w:r>
    </w:p>
    <w:p w:rsidR="00000000" w:rsidRDefault="00BE64BF">
      <w:pPr>
        <w:rPr>
          <w:sz w:val="30"/>
          <w:szCs w:val="30"/>
          <w:lang w:val="en-US"/>
        </w:rPr>
      </w:pPr>
    </w:p>
    <w:p w:rsidR="00000000" w:rsidRDefault="00BE64BF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- 32 interviews </w:t>
      </w:r>
    </w:p>
    <w:p w:rsidR="00000000" w:rsidRDefault="00BE64BF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- 22 surveys</w:t>
      </w:r>
    </w:p>
    <w:p w:rsidR="00000000" w:rsidRDefault="00BE64BF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- 108 Criminal Injuries Compensation files </w:t>
      </w:r>
    </w:p>
    <w:p w:rsidR="00000000" w:rsidRDefault="00BE64BF">
      <w:pPr>
        <w:rPr>
          <w:sz w:val="30"/>
          <w:szCs w:val="30"/>
          <w:lang w:val="en-US"/>
        </w:rPr>
      </w:pPr>
    </w:p>
    <w:p w:rsidR="00000000" w:rsidRDefault="00BE64BF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All involved the experiences of those who had suffered the murder of a loved one</w:t>
      </w:r>
    </w:p>
    <w:p w:rsidR="00000000" w:rsidRDefault="00BE64BF">
      <w:pPr>
        <w:rPr>
          <w:sz w:val="30"/>
          <w:szCs w:val="30"/>
          <w:lang w:val="en-US"/>
        </w:rPr>
      </w:pPr>
    </w:p>
    <w:p w:rsidR="00000000" w:rsidRDefault="00BE64BF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ab/>
        <w:t xml:space="preserve">  </w:t>
      </w:r>
      <w:r>
        <w:rPr>
          <w:b/>
          <w:bCs/>
          <w:sz w:val="30"/>
          <w:szCs w:val="30"/>
          <w:lang w:val="en-US"/>
        </w:rPr>
        <w:t xml:space="preserve">   (iv)</w:t>
      </w:r>
      <w:r>
        <w:rPr>
          <w:sz w:val="30"/>
          <w:szCs w:val="30"/>
          <w:lang w:val="en-US"/>
        </w:rPr>
        <w:t xml:space="preserve"> </w:t>
      </w:r>
      <w:r>
        <w:rPr>
          <w:b/>
          <w:bCs/>
          <w:sz w:val="30"/>
          <w:szCs w:val="30"/>
          <w:lang w:val="en-US"/>
        </w:rPr>
        <w:t xml:space="preserve">Results: </w:t>
      </w:r>
    </w:p>
    <w:p w:rsidR="00000000" w:rsidRDefault="00BE64BF">
      <w:pPr>
        <w:rPr>
          <w:b/>
          <w:bCs/>
          <w:sz w:val="30"/>
          <w:szCs w:val="30"/>
          <w:lang w:val="en-US"/>
        </w:rPr>
      </w:pPr>
    </w:p>
    <w:p w:rsidR="00000000" w:rsidRDefault="00BE64BF">
      <w:pPr>
        <w:tabs>
          <w:tab w:val="left" w:pos="720"/>
          <w:tab w:val="left" w:pos="1440"/>
          <w:tab w:val="left" w:pos="2160"/>
        </w:tabs>
        <w:ind w:left="2160" w:hanging="2160"/>
        <w:rPr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ab/>
      </w:r>
      <w:r w:rsidR="00906A60">
        <w:rPr>
          <w:b/>
          <w:bCs/>
          <w:sz w:val="30"/>
          <w:szCs w:val="30"/>
          <w:lang w:val="en-US"/>
        </w:rPr>
        <w:t xml:space="preserve">  </w:t>
      </w:r>
      <w:r>
        <w:rPr>
          <w:b/>
          <w:bCs/>
          <w:sz w:val="30"/>
          <w:szCs w:val="30"/>
          <w:lang w:val="en-US"/>
        </w:rPr>
        <w:tab/>
      </w:r>
      <w:r w:rsidR="00906A60">
        <w:rPr>
          <w:b/>
          <w:bCs/>
          <w:sz w:val="30"/>
          <w:szCs w:val="30"/>
          <w:lang w:val="en-US"/>
        </w:rPr>
        <w:t xml:space="preserve"> </w:t>
      </w:r>
      <w:r>
        <w:rPr>
          <w:b/>
          <w:bCs/>
          <w:sz w:val="30"/>
          <w:szCs w:val="30"/>
          <w:lang w:val="en-US"/>
        </w:rPr>
        <w:t>(a)</w:t>
      </w:r>
      <w:r>
        <w:rPr>
          <w:sz w:val="30"/>
          <w:szCs w:val="30"/>
          <w:lang w:val="en-US"/>
        </w:rPr>
        <w:t xml:space="preserve"> </w:t>
      </w:r>
      <w:r>
        <w:rPr>
          <w:b/>
          <w:bCs/>
          <w:sz w:val="30"/>
          <w:szCs w:val="30"/>
          <w:lang w:val="en-US"/>
        </w:rPr>
        <w:t>Extended Family and Friends:</w:t>
      </w:r>
      <w:r>
        <w:rPr>
          <w:sz w:val="30"/>
          <w:szCs w:val="30"/>
          <w:lang w:val="en-US"/>
        </w:rPr>
        <w:t xml:space="preserve">  </w:t>
      </w:r>
    </w:p>
    <w:p w:rsidR="00000000" w:rsidRDefault="00BE64BF">
      <w:pPr>
        <w:rPr>
          <w:sz w:val="30"/>
          <w:szCs w:val="30"/>
          <w:lang w:val="en-US"/>
        </w:rPr>
      </w:pPr>
    </w:p>
    <w:p w:rsidR="00000000" w:rsidRDefault="00BE64BF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A </w:t>
      </w:r>
      <w:r>
        <w:rPr>
          <w:i/>
          <w:iCs/>
          <w:sz w:val="30"/>
          <w:szCs w:val="30"/>
          <w:lang w:val="en-US"/>
        </w:rPr>
        <w:t>mino</w:t>
      </w:r>
      <w:r>
        <w:rPr>
          <w:i/>
          <w:iCs/>
          <w:sz w:val="30"/>
          <w:szCs w:val="30"/>
          <w:lang w:val="en-US"/>
        </w:rPr>
        <w:t>rity</w:t>
      </w:r>
      <w:r>
        <w:rPr>
          <w:sz w:val="30"/>
          <w:szCs w:val="30"/>
          <w:lang w:val="en-US"/>
        </w:rPr>
        <w:t xml:space="preserve"> of respondents experienced widespread, </w:t>
      </w:r>
      <w:r>
        <w:rPr>
          <w:i/>
          <w:iCs/>
          <w:sz w:val="30"/>
          <w:szCs w:val="30"/>
          <w:lang w:val="en-US"/>
        </w:rPr>
        <w:t>ongoing</w:t>
      </w:r>
      <w:r>
        <w:rPr>
          <w:sz w:val="30"/>
          <w:szCs w:val="30"/>
          <w:lang w:val="en-US"/>
        </w:rPr>
        <w:t xml:space="preserve"> support from the majority of their extended family and friends. (Qt)</w:t>
      </w:r>
    </w:p>
    <w:p w:rsidR="00000000" w:rsidRDefault="00BE64BF">
      <w:pPr>
        <w:rPr>
          <w:sz w:val="30"/>
          <w:szCs w:val="30"/>
          <w:lang w:val="en-US"/>
        </w:rPr>
      </w:pPr>
    </w:p>
    <w:p w:rsidR="00000000" w:rsidRDefault="00BE64BF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Sympathetic, and reportedly “helpful” responses included:</w:t>
      </w:r>
    </w:p>
    <w:p w:rsidR="00000000" w:rsidRDefault="00BE64BF">
      <w:pPr>
        <w:rPr>
          <w:sz w:val="30"/>
          <w:szCs w:val="30"/>
          <w:lang w:val="en-US"/>
        </w:rPr>
      </w:pPr>
    </w:p>
    <w:p w:rsidR="00000000" w:rsidRDefault="00BE64BF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-visiting and staying </w:t>
      </w:r>
    </w:p>
    <w:p w:rsidR="00000000" w:rsidRDefault="00BE64BF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 -providing ongoing emotional support</w:t>
      </w:r>
    </w:p>
    <w:p w:rsidR="00000000" w:rsidRDefault="00BE64BF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 xml:space="preserve"> -handling responsibilities</w:t>
      </w:r>
    </w:p>
    <w:p w:rsidR="00906A60" w:rsidRDefault="00BE64BF">
      <w:pPr>
        <w:tabs>
          <w:tab w:val="left" w:pos="0"/>
          <w:tab w:val="left" w:pos="645"/>
          <w:tab w:val="left" w:pos="1365"/>
          <w:tab w:val="left" w:pos="2085"/>
          <w:tab w:val="left" w:pos="2805"/>
          <w:tab w:val="left" w:pos="3525"/>
          <w:tab w:val="left" w:pos="4245"/>
          <w:tab w:val="left" w:pos="4965"/>
          <w:tab w:val="left" w:pos="5685"/>
          <w:tab w:val="left" w:pos="6405"/>
          <w:tab w:val="left" w:pos="7125"/>
          <w:tab w:val="right" w:pos="7845"/>
        </w:tabs>
        <w:ind w:left="794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-helpful communication (e.g. the ability of others to pick up    </w:t>
      </w:r>
    </w:p>
    <w:p w:rsidR="00000000" w:rsidRDefault="00906A60">
      <w:pPr>
        <w:tabs>
          <w:tab w:val="left" w:pos="0"/>
          <w:tab w:val="left" w:pos="645"/>
          <w:tab w:val="left" w:pos="1365"/>
          <w:tab w:val="left" w:pos="2085"/>
          <w:tab w:val="left" w:pos="2805"/>
          <w:tab w:val="left" w:pos="3525"/>
          <w:tab w:val="left" w:pos="4245"/>
          <w:tab w:val="left" w:pos="4965"/>
          <w:tab w:val="left" w:pos="5685"/>
          <w:tab w:val="left" w:pos="6405"/>
          <w:tab w:val="left" w:pos="7125"/>
          <w:tab w:val="right" w:pos="7845"/>
        </w:tabs>
        <w:ind w:left="794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</w:t>
      </w:r>
      <w:r w:rsidR="00BE64BF">
        <w:rPr>
          <w:sz w:val="30"/>
          <w:szCs w:val="30"/>
          <w:lang w:val="en-US"/>
        </w:rPr>
        <w:t>subtle cues re: when / how to offer support.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Demonstrates how some people may be reacted to as </w:t>
      </w:r>
      <w:r>
        <w:rPr>
          <w:i/>
          <w:iCs/>
          <w:sz w:val="30"/>
          <w:szCs w:val="30"/>
          <w:lang w:val="en-US"/>
        </w:rPr>
        <w:t>legitimate victims</w:t>
      </w:r>
      <w:r>
        <w:rPr>
          <w:sz w:val="30"/>
          <w:szCs w:val="30"/>
          <w:lang w:val="en-US"/>
        </w:rPr>
        <w:t xml:space="preserve">, who are </w:t>
      </w:r>
      <w:r>
        <w:rPr>
          <w:i/>
          <w:iCs/>
          <w:sz w:val="30"/>
          <w:szCs w:val="30"/>
          <w:lang w:val="en-US"/>
        </w:rPr>
        <w:t>sympathy worthy</w:t>
      </w:r>
      <w:r>
        <w:rPr>
          <w:sz w:val="30"/>
          <w:szCs w:val="30"/>
          <w:lang w:val="en-US"/>
        </w:rPr>
        <w:t>.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A </w:t>
      </w:r>
      <w:r>
        <w:rPr>
          <w:i/>
          <w:iCs/>
          <w:sz w:val="30"/>
          <w:szCs w:val="30"/>
          <w:lang w:val="en-US"/>
        </w:rPr>
        <w:t>majority</w:t>
      </w:r>
      <w:r>
        <w:rPr>
          <w:sz w:val="30"/>
          <w:szCs w:val="30"/>
          <w:lang w:val="en-US"/>
        </w:rPr>
        <w:t xml:space="preserve"> of respondents, however, experienced: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 w:hanging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ab/>
        <w:t>(i) a generalized lack of support from the bulk of their extended family and friends;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(ii) that persisted over time. (3 Qts)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 xml:space="preserve">* Reportedly “unhelpful” responses included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-initial lack of support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-rapidly disap</w:t>
      </w:r>
      <w:r>
        <w:rPr>
          <w:sz w:val="30"/>
          <w:szCs w:val="30"/>
          <w:lang w:val="en-US"/>
        </w:rPr>
        <w:t>pearing support (e.g. after the funeral)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-“inappropriate” attention and harassment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-avoidance by others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-problems with communication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-overt conflict. 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Some people considered that these varying responses were the result </w:t>
      </w:r>
      <w:r>
        <w:rPr>
          <w:sz w:val="30"/>
          <w:szCs w:val="30"/>
          <w:lang w:val="en-US"/>
        </w:rPr>
        <w:t xml:space="preserve">of their being labeled as </w:t>
      </w:r>
      <w:r>
        <w:rPr>
          <w:i/>
          <w:iCs/>
          <w:sz w:val="30"/>
          <w:szCs w:val="30"/>
          <w:lang w:val="en-US"/>
        </w:rPr>
        <w:t>victims,</w:t>
      </w:r>
      <w:r>
        <w:rPr>
          <w:sz w:val="30"/>
          <w:szCs w:val="30"/>
          <w:lang w:val="en-US"/>
        </w:rPr>
        <w:t xml:space="preserve"> others as </w:t>
      </w:r>
      <w:r>
        <w:rPr>
          <w:i/>
          <w:iCs/>
          <w:sz w:val="30"/>
          <w:szCs w:val="30"/>
          <w:lang w:val="en-US"/>
        </w:rPr>
        <w:t>deviants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Survivors’ </w:t>
      </w:r>
      <w:r>
        <w:rPr>
          <w:i/>
          <w:iCs/>
          <w:sz w:val="30"/>
          <w:szCs w:val="30"/>
          <w:lang w:val="en-US"/>
        </w:rPr>
        <w:t>rationales</w:t>
      </w:r>
      <w:r>
        <w:rPr>
          <w:sz w:val="30"/>
          <w:szCs w:val="30"/>
          <w:lang w:val="en-US"/>
        </w:rPr>
        <w:t xml:space="preserve"> for these “unhelpful” responses were instructive in separating these: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 w:hanging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</w:t>
      </w:r>
      <w:r>
        <w:rPr>
          <w:sz w:val="30"/>
          <w:szCs w:val="30"/>
          <w:lang w:val="en-US"/>
        </w:rPr>
        <w:tab/>
        <w:t xml:space="preserve">(i) Some labelled as </w:t>
      </w:r>
      <w:r>
        <w:rPr>
          <w:i/>
          <w:iCs/>
          <w:sz w:val="30"/>
          <w:szCs w:val="30"/>
          <w:lang w:val="en-US"/>
        </w:rPr>
        <w:t>victims</w:t>
      </w:r>
      <w:r>
        <w:rPr>
          <w:sz w:val="30"/>
          <w:szCs w:val="30"/>
          <w:lang w:val="en-US"/>
        </w:rPr>
        <w:t xml:space="preserve"> asserted how many of their extended family and friends were afraid to do o</w:t>
      </w:r>
      <w:r>
        <w:rPr>
          <w:sz w:val="30"/>
          <w:szCs w:val="30"/>
          <w:lang w:val="en-US"/>
        </w:rPr>
        <w:t xml:space="preserve">r say anything that might upset them further, and  avoided contact as a result (3 Qts)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 w:hanging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</w:t>
      </w:r>
      <w:r>
        <w:rPr>
          <w:sz w:val="30"/>
          <w:szCs w:val="30"/>
          <w:lang w:val="en-US"/>
        </w:rPr>
        <w:tab/>
        <w:t xml:space="preserve">(ii) Others labelled as </w:t>
      </w:r>
      <w:r>
        <w:rPr>
          <w:i/>
          <w:iCs/>
          <w:sz w:val="30"/>
          <w:szCs w:val="30"/>
          <w:lang w:val="en-US"/>
        </w:rPr>
        <w:t>victims</w:t>
      </w:r>
      <w:r>
        <w:rPr>
          <w:sz w:val="30"/>
          <w:szCs w:val="30"/>
          <w:lang w:val="en-US"/>
        </w:rPr>
        <w:t xml:space="preserve"> noted how the initially sympathetic responses of others eventually gave way to others privately urging them to “get on with your liv</w:t>
      </w:r>
      <w:r>
        <w:rPr>
          <w:sz w:val="30"/>
          <w:szCs w:val="30"/>
          <w:lang w:val="en-US"/>
        </w:rPr>
        <w:t>es.” (1 Qt)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 w:hanging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ab/>
        <w:t xml:space="preserve">(iii)  Some individuals felt that they were stigmatized as </w:t>
      </w:r>
      <w:r>
        <w:rPr>
          <w:i/>
          <w:iCs/>
          <w:sz w:val="30"/>
          <w:szCs w:val="30"/>
          <w:lang w:val="en-US"/>
        </w:rPr>
        <w:t xml:space="preserve">emotional deviants </w:t>
      </w:r>
      <w:r>
        <w:rPr>
          <w:sz w:val="30"/>
          <w:szCs w:val="30"/>
          <w:lang w:val="en-US"/>
        </w:rPr>
        <w:t>by others due to “inappropriate” behavior in public settings. (2 Qts)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 w:hanging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ab/>
        <w:t xml:space="preserve">(iv) </w:t>
      </w:r>
      <w:r w:rsidR="00906A60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 xml:space="preserve">Some individuals were simply stigmatized as </w:t>
      </w:r>
      <w:r>
        <w:rPr>
          <w:i/>
          <w:iCs/>
          <w:sz w:val="30"/>
          <w:szCs w:val="30"/>
          <w:lang w:val="en-US"/>
        </w:rPr>
        <w:t>deviants</w:t>
      </w:r>
      <w:r>
        <w:rPr>
          <w:sz w:val="30"/>
          <w:szCs w:val="30"/>
          <w:lang w:val="en-US"/>
        </w:rPr>
        <w:t>. These were family members of in</w:t>
      </w:r>
      <w:r>
        <w:rPr>
          <w:sz w:val="30"/>
          <w:szCs w:val="30"/>
          <w:lang w:val="en-US"/>
        </w:rPr>
        <w:t>dividuals who were blamed, or somehow seen as contributing to their plight (2 Qts).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 w:hanging="720"/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 w:hanging="720"/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Each of these rationales relate to:</w:t>
      </w:r>
      <w:r>
        <w:rPr>
          <w:sz w:val="30"/>
          <w:szCs w:val="30"/>
          <w:lang w:val="en-US"/>
        </w:rPr>
        <w:tab/>
        <w:t xml:space="preserve">(i) sympathy worthiness; &amp;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                </w:t>
      </w:r>
      <w:r w:rsidR="00906A60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 xml:space="preserve">  (ii) the rules of sympathy etiquette</w:t>
      </w:r>
    </w:p>
    <w:p w:rsidR="00906A60" w:rsidRDefault="00906A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906A60" w:rsidRDefault="00906A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lastRenderedPageBreak/>
        <w:tab/>
      </w:r>
      <w:r w:rsidR="00906A60">
        <w:rPr>
          <w:b/>
          <w:bCs/>
          <w:sz w:val="30"/>
          <w:szCs w:val="30"/>
          <w:lang w:val="en-US"/>
        </w:rPr>
        <w:t xml:space="preserve">      </w:t>
      </w:r>
      <w:r>
        <w:rPr>
          <w:b/>
          <w:bCs/>
          <w:sz w:val="30"/>
          <w:szCs w:val="30"/>
          <w:lang w:val="en-US"/>
        </w:rPr>
        <w:t>(b) Acqu</w:t>
      </w:r>
      <w:r>
        <w:rPr>
          <w:b/>
          <w:bCs/>
          <w:sz w:val="30"/>
          <w:szCs w:val="30"/>
          <w:lang w:val="en-US"/>
        </w:rPr>
        <w:t>aintances, Strangers, &amp; the Community: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Respondents often noted receiving remarkable support from </w:t>
      </w:r>
      <w:r>
        <w:rPr>
          <w:i/>
          <w:iCs/>
          <w:sz w:val="30"/>
          <w:szCs w:val="30"/>
          <w:lang w:val="en-US"/>
        </w:rPr>
        <w:t>mere acquaintances</w:t>
      </w:r>
      <w:r>
        <w:rPr>
          <w:sz w:val="30"/>
          <w:szCs w:val="30"/>
          <w:lang w:val="en-US"/>
        </w:rPr>
        <w:t xml:space="preserve"> (2 Qts)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Acquaintances who labelled respondents as victims considered them as legitimately sympathy worthy as above, but their expressi</w:t>
      </w:r>
      <w:r>
        <w:rPr>
          <w:sz w:val="30"/>
          <w:szCs w:val="30"/>
          <w:lang w:val="en-US"/>
        </w:rPr>
        <w:t>on of sympathy was not so readily blocked by their own upset and familiarity with respondents.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Respondents sometimes noted a groundswell of support from </w:t>
      </w:r>
      <w:r>
        <w:rPr>
          <w:i/>
          <w:iCs/>
          <w:sz w:val="30"/>
          <w:szCs w:val="30"/>
          <w:lang w:val="en-US"/>
        </w:rPr>
        <w:t>strangers in the community</w:t>
      </w:r>
      <w:r>
        <w:rPr>
          <w:sz w:val="30"/>
          <w:szCs w:val="30"/>
          <w:lang w:val="en-US"/>
        </w:rPr>
        <w:t xml:space="preserve"> as well.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 w:hanging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Two factors were associated with this: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  <w:sectPr w:rsidR="00000000">
          <w:footerReference w:type="even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906A60" w:rsidP="00906A60">
      <w:pPr>
        <w:pStyle w:val="8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645"/>
          <w:tab w:val="left" w:pos="1365"/>
          <w:tab w:val="left" w:pos="2085"/>
          <w:tab w:val="left" w:pos="2805"/>
          <w:tab w:val="left" w:pos="3525"/>
          <w:tab w:val="left" w:pos="4245"/>
          <w:tab w:val="left" w:pos="4965"/>
          <w:tab w:val="left" w:pos="5685"/>
          <w:tab w:val="left" w:pos="6405"/>
          <w:tab w:val="right" w:pos="7125"/>
        </w:tabs>
        <w:jc w:val="lef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(i) </w:t>
      </w:r>
      <w:r w:rsidR="00BE64BF">
        <w:rPr>
          <w:sz w:val="30"/>
          <w:szCs w:val="30"/>
          <w:lang w:val="en-US"/>
        </w:rPr>
        <w:t xml:space="preserve">Either the deceased, or </w:t>
      </w:r>
      <w:r w:rsidR="00BE64BF">
        <w:rPr>
          <w:sz w:val="30"/>
          <w:szCs w:val="30"/>
          <w:lang w:val="en-US"/>
        </w:rPr>
        <w:t xml:space="preserve">their survivors, were well known, had much prior community involvement, or both (1 Qt);  </w:t>
      </w:r>
    </w:p>
    <w:p w:rsidR="00000000" w:rsidRDefault="00906A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</w:t>
      </w:r>
      <w:r w:rsidR="00BE64BF">
        <w:rPr>
          <w:sz w:val="30"/>
          <w:szCs w:val="30"/>
          <w:lang w:val="en-US"/>
        </w:rPr>
        <w:t>(ii)</w:t>
      </w:r>
      <w:r>
        <w:rPr>
          <w:sz w:val="30"/>
          <w:szCs w:val="30"/>
          <w:lang w:val="en-US"/>
        </w:rPr>
        <w:t xml:space="preserve"> </w:t>
      </w:r>
      <w:r w:rsidR="00BE64BF">
        <w:rPr>
          <w:sz w:val="30"/>
          <w:szCs w:val="30"/>
          <w:lang w:val="en-US"/>
        </w:rPr>
        <w:t xml:space="preserve">Widespread sympathetic media coverage (1 Qt).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Indeed, it appeared that </w:t>
      </w:r>
      <w:r>
        <w:rPr>
          <w:i/>
          <w:iCs/>
          <w:sz w:val="30"/>
          <w:szCs w:val="30"/>
          <w:lang w:val="en-US"/>
        </w:rPr>
        <w:t xml:space="preserve">some respondents were cast into the role of crusading victim advocates </w:t>
      </w:r>
      <w:r>
        <w:rPr>
          <w:sz w:val="30"/>
          <w:szCs w:val="30"/>
          <w:lang w:val="en-US"/>
        </w:rPr>
        <w:t>in such a context (1 Qt).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In cases where (i) was absent, sympathy margins were lessened (1Q)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Where (ii) was absent as well, or the murder involved much negative coverage and/or the proliferation of rumors, there was greater stigmatization (1 Qt).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</w:t>
      </w:r>
      <w:r>
        <w:rPr>
          <w:sz w:val="30"/>
          <w:szCs w:val="30"/>
          <w:lang w:val="en-US"/>
        </w:rPr>
        <w:t xml:space="preserve"> Three negative responses occurred as a result: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(i) </w:t>
      </w:r>
      <w:r>
        <w:rPr>
          <w:i/>
          <w:iCs/>
          <w:sz w:val="30"/>
          <w:szCs w:val="30"/>
          <w:lang w:val="en-US"/>
        </w:rPr>
        <w:t>harassment</w:t>
      </w:r>
      <w:r>
        <w:rPr>
          <w:sz w:val="30"/>
          <w:szCs w:val="30"/>
          <w:lang w:val="en-US"/>
        </w:rPr>
        <w:t xml:space="preserve"> (1 Qt); (ii) </w:t>
      </w:r>
      <w:r>
        <w:rPr>
          <w:i/>
          <w:iCs/>
          <w:sz w:val="30"/>
          <w:szCs w:val="30"/>
          <w:lang w:val="en-US"/>
        </w:rPr>
        <w:t>blaming</w:t>
      </w:r>
      <w:r>
        <w:rPr>
          <w:sz w:val="30"/>
          <w:szCs w:val="30"/>
          <w:lang w:val="en-US"/>
        </w:rPr>
        <w:t xml:space="preserve"> (1 Qt); (iii) </w:t>
      </w:r>
      <w:r>
        <w:rPr>
          <w:i/>
          <w:iCs/>
          <w:sz w:val="30"/>
          <w:szCs w:val="30"/>
          <w:lang w:val="en-US"/>
        </w:rPr>
        <w:t xml:space="preserve">notoriety </w:t>
      </w:r>
      <w:r>
        <w:rPr>
          <w:sz w:val="30"/>
          <w:szCs w:val="30"/>
          <w:lang w:val="en-US"/>
        </w:rPr>
        <w:t xml:space="preserve">(2 Qts)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  <w:sectPr w:rsidR="0000000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BE64BF" w:rsidP="00BE5BFF">
      <w:pPr>
        <w:pStyle w:val="81"/>
        <w:numPr>
          <w:ilvl w:val="0"/>
          <w:numId w:val="2"/>
        </w:numPr>
        <w:jc w:val="lef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Whether the predominant label was deviant or victim, such respondents reported</w:t>
      </w:r>
      <w:r>
        <w:rPr>
          <w:i/>
          <w:iCs/>
          <w:sz w:val="30"/>
          <w:szCs w:val="30"/>
          <w:lang w:val="en-US"/>
        </w:rPr>
        <w:t xml:space="preserve"> revictimization </w:t>
      </w:r>
      <w:r>
        <w:rPr>
          <w:sz w:val="30"/>
          <w:szCs w:val="30"/>
          <w:lang w:val="en-US"/>
        </w:rPr>
        <w:t>in their encounters with others in the community.</w:t>
      </w:r>
    </w:p>
    <w:p w:rsidR="00906A60" w:rsidRDefault="00906A60" w:rsidP="00BE5BFF">
      <w:pPr>
        <w:pStyle w:val="81"/>
        <w:numPr>
          <w:ilvl w:val="0"/>
          <w:numId w:val="2"/>
        </w:numPr>
        <w:jc w:val="left"/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</w:tabs>
        <w:ind w:left="2880"/>
        <w:rPr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(c) Subjects’ Responses: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Generally, survivors could either: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 xml:space="preserve">(i) attempt to deal with things on their own; or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(ii) seek help.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Two factors appeared to affect their response in this regard: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(i) their </w:t>
      </w:r>
      <w:r>
        <w:rPr>
          <w:i/>
          <w:iCs/>
          <w:sz w:val="30"/>
          <w:szCs w:val="30"/>
          <w:lang w:val="en-US"/>
        </w:rPr>
        <w:t>gendered orientation to seeking help</w:t>
      </w:r>
      <w:r>
        <w:rPr>
          <w:sz w:val="30"/>
          <w:szCs w:val="30"/>
          <w:lang w:val="en-US"/>
        </w:rPr>
        <w:t xml:space="preserve">; and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(ii) a variety of </w:t>
      </w:r>
      <w:r>
        <w:rPr>
          <w:i/>
          <w:iCs/>
          <w:sz w:val="30"/>
          <w:szCs w:val="30"/>
          <w:lang w:val="en-US"/>
        </w:rPr>
        <w:t>incentives/disincentives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With regard to </w:t>
      </w:r>
      <w:r>
        <w:rPr>
          <w:i/>
          <w:iCs/>
          <w:sz w:val="30"/>
          <w:szCs w:val="30"/>
          <w:lang w:val="en-US"/>
        </w:rPr>
        <w:t>gende</w:t>
      </w:r>
      <w:r>
        <w:rPr>
          <w:i/>
          <w:iCs/>
          <w:sz w:val="30"/>
          <w:szCs w:val="30"/>
          <w:lang w:val="en-US"/>
        </w:rPr>
        <w:t>r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males were far less likely to seek out help than females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(e.g. imbalance of  women in self-help, victims organizations, and counseling)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As for </w:t>
      </w:r>
      <w:r>
        <w:rPr>
          <w:i/>
          <w:iCs/>
          <w:sz w:val="30"/>
          <w:szCs w:val="30"/>
          <w:lang w:val="en-US"/>
        </w:rPr>
        <w:t>incentives and disincentives</w:t>
      </w:r>
      <w:r>
        <w:rPr>
          <w:sz w:val="30"/>
          <w:szCs w:val="30"/>
          <w:lang w:val="en-US"/>
        </w:rPr>
        <w:t xml:space="preserve">, there were five interrelated components: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(i) level of sympathetic support in respondents’ social context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(4 Qts)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(ii) type of encouragement to seek help (2 Qts)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(iii) level of stigmatization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(iv) additional victimizing encounters;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(v) availability of choices.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 xml:space="preserve">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Taking these fact</w:t>
      </w:r>
      <w:r>
        <w:rPr>
          <w:sz w:val="30"/>
          <w:szCs w:val="30"/>
          <w:lang w:val="en-US"/>
        </w:rPr>
        <w:t xml:space="preserve">ors together, </w:t>
      </w:r>
      <w:r>
        <w:rPr>
          <w:i/>
          <w:iCs/>
          <w:sz w:val="30"/>
          <w:szCs w:val="30"/>
          <w:lang w:val="en-US"/>
        </w:rPr>
        <w:t>four patterns or “careers” emerged</w:t>
      </w:r>
      <w:r>
        <w:rPr>
          <w:sz w:val="30"/>
          <w:szCs w:val="30"/>
          <w:lang w:val="en-US"/>
        </w:rPr>
        <w:t>: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</w:rPr>
        <w:sectPr w:rsidR="0000000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BE64BF" w:rsidP="00BE5BFF">
      <w:pPr>
        <w:pStyle w:val="81"/>
        <w:numPr>
          <w:ilvl w:val="0"/>
          <w:numId w:val="3"/>
        </w:numPr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285"/>
          <w:tab w:val="left" w:pos="1005"/>
          <w:tab w:val="left" w:pos="1725"/>
          <w:tab w:val="left" w:pos="2445"/>
          <w:tab w:val="left" w:pos="3165"/>
          <w:tab w:val="left" w:pos="3885"/>
          <w:tab w:val="left" w:pos="4605"/>
          <w:tab w:val="left" w:pos="5325"/>
          <w:tab w:val="left" w:pos="6045"/>
          <w:tab w:val="left" w:pos="6765"/>
          <w:tab w:val="left" w:pos="7485"/>
          <w:tab w:val="right" w:pos="8205"/>
        </w:tabs>
        <w:jc w:val="left"/>
        <w:rPr>
          <w:i/>
          <w:iCs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Not accepting the label of victim as definiti</w:t>
      </w:r>
      <w:r>
        <w:rPr>
          <w:sz w:val="30"/>
          <w:szCs w:val="30"/>
          <w:lang w:val="en-US"/>
        </w:rPr>
        <w:t>ve</w:t>
      </w:r>
      <w:r>
        <w:rPr>
          <w:i/>
          <w:iCs/>
          <w:sz w:val="30"/>
          <w:szCs w:val="30"/>
          <w:lang w:val="en-US"/>
        </w:rPr>
        <w:t>.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(2) Using the victim role as a defense or reaction</w:t>
      </w:r>
      <w:r>
        <w:rPr>
          <w:i/>
          <w:iCs/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 xml:space="preserve">(i.e. “secondary victimization” either through altercasting or “revictimization,” possibly leading to formal labeling and/or subcultural involvement). </w:t>
      </w:r>
    </w:p>
    <w:p w:rsidR="00000000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30"/>
          <w:szCs w:val="30"/>
          <w:lang w:val="en-US"/>
        </w:rPr>
      </w:pP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(3) Confronting, assessing, and rejecting the negative labels inherent in victimization and replacing it with a positive identity (i.e. “tertiary victimization” as an advocate or “survivor”). </w:t>
      </w: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ab/>
      </w: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lastRenderedPageBreak/>
        <w:t>(4) Secondary deviance/ secondary emotional deviance, possibl</w:t>
      </w:r>
      <w:r>
        <w:t>y added to by the formal labeling of control agents.</w:t>
      </w: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* All of these patterns were reflected in subjects’ </w:t>
      </w:r>
      <w:r>
        <w:rPr>
          <w:i/>
          <w:iCs/>
        </w:rPr>
        <w:t>utilization of the victim role</w:t>
      </w:r>
      <w:r>
        <w:t>:</w:t>
      </w: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ab/>
        <w:t xml:space="preserve">(1) Some used the victim role </w:t>
      </w:r>
      <w:r>
        <w:rPr>
          <w:i/>
          <w:iCs/>
        </w:rPr>
        <w:t xml:space="preserve">as a shield </w:t>
      </w:r>
      <w:r>
        <w:t>to deflect responsibility and account for their failure to cope in a varie</w:t>
      </w:r>
      <w:r>
        <w:t>ty of contexts (1 Qt)</w:t>
      </w: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ab/>
        <w:t xml:space="preserve">(2) Others used the victim role </w:t>
      </w:r>
      <w:r>
        <w:rPr>
          <w:i/>
          <w:iCs/>
        </w:rPr>
        <w:t>as a sword</w:t>
      </w:r>
      <w:r>
        <w:t xml:space="preserve"> to assign causes, specify remedies, and to generally fight for positive change (1 Qt) </w:t>
      </w: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ab/>
        <w:t xml:space="preserve">(3) In some circumstances subjects learned to self-presentationally </w:t>
      </w:r>
      <w:r>
        <w:rPr>
          <w:i/>
          <w:iCs/>
        </w:rPr>
        <w:t xml:space="preserve">alternate </w:t>
      </w:r>
      <w:r>
        <w:t>between the two as circumstances demanded (</w:t>
      </w:r>
      <w:r>
        <w:rPr>
          <w:i/>
          <w:iCs/>
        </w:rPr>
        <w:t>volitional gerrymandering).</w:t>
      </w:r>
      <w:r>
        <w:tab/>
      </w: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(d) Conclusion:</w:t>
      </w:r>
      <w:r>
        <w:t xml:space="preserve"> </w:t>
      </w: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* This research elaborates on the range of social responses to victims of crime, and their varying reactions.</w:t>
      </w: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* It takes the labelling process traditionally a</w:t>
      </w:r>
      <w:r>
        <w:t>pplied to offenders, and makes many theoretical comparisons in the experiences of victims.</w:t>
      </w: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  <w:szCs w:val="20"/>
        </w:rPr>
      </w:pPr>
      <w:r>
        <w:t>* It identifies a parallel labelling process for victims, and differentiates between the two on the basis of sympathy, stigma, and a variety of interactional respon</w:t>
      </w:r>
      <w:r>
        <w:t>ses.</w:t>
      </w:r>
    </w:p>
    <w:p w:rsidR="00000000" w:rsidRDefault="00BE64B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  <w:szCs w:val="24"/>
          <w:lang w:val="en-CA"/>
        </w:rPr>
        <w:sectPr w:rsidR="0000000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E64BF" w:rsidRDefault="00BE64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</w:p>
    <w:sectPr w:rsidR="00BE64B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BF" w:rsidRDefault="00BE64BF">
      <w:r>
        <w:separator/>
      </w:r>
    </w:p>
  </w:endnote>
  <w:endnote w:type="continuationSeparator" w:id="0">
    <w:p w:rsidR="00BE64BF" w:rsidRDefault="00BE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64BF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BE6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E64BF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BE5BFF">
      <w:rPr>
        <w:rStyle w:val="PageNumber"/>
      </w:rPr>
      <w:fldChar w:fldCharType="separate"/>
    </w:r>
    <w:r w:rsidR="00906A60"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BE6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BF" w:rsidRDefault="00BE64BF">
      <w:r>
        <w:separator/>
      </w:r>
    </w:p>
  </w:footnote>
  <w:footnote w:type="continuationSeparator" w:id="0">
    <w:p w:rsidR="00BE64BF" w:rsidRDefault="00BE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5A16"/>
    <w:multiLevelType w:val="multilevel"/>
    <w:tmpl w:val="9C6ECEDE"/>
    <w:lvl w:ilvl="0">
      <w:start w:val="3"/>
      <w:numFmt w:val="none"/>
      <w:lvlText w:val="·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·"/>
      <w:legacy w:legacy="1" w:legacySpace="0" w:legacyIndent="360"/>
      <w:lvlJc w:val="left"/>
      <w:pPr>
        <w:ind w:left="720" w:hanging="360"/>
      </w:pPr>
    </w:lvl>
    <w:lvl w:ilvl="2">
      <w:start w:val="1"/>
      <w:numFmt w:val="none"/>
      <w:lvlText w:val="·"/>
      <w:legacy w:legacy="1" w:legacySpace="0" w:legacyIndent="360"/>
      <w:lvlJc w:val="left"/>
      <w:pPr>
        <w:ind w:left="1080" w:hanging="360"/>
      </w:pPr>
    </w:lvl>
    <w:lvl w:ilvl="3">
      <w:start w:val="1"/>
      <w:numFmt w:val="none"/>
      <w:lvlText w:val="·"/>
      <w:legacy w:legacy="1" w:legacySpace="0" w:legacyIndent="360"/>
      <w:lvlJc w:val="left"/>
      <w:pPr>
        <w:ind w:left="1440" w:hanging="360"/>
      </w:pPr>
    </w:lvl>
    <w:lvl w:ilvl="4">
      <w:start w:val="1"/>
      <w:numFmt w:val="none"/>
      <w:lvlText w:val="·"/>
      <w:legacy w:legacy="1" w:legacySpace="0" w:legacyIndent="360"/>
      <w:lvlJc w:val="left"/>
      <w:pPr>
        <w:ind w:left="1800" w:hanging="360"/>
      </w:pPr>
    </w:lvl>
    <w:lvl w:ilvl="5">
      <w:start w:val="1"/>
      <w:numFmt w:val="none"/>
      <w:lvlText w:val="·"/>
      <w:legacy w:legacy="1" w:legacySpace="0" w:legacyIndent="360"/>
      <w:lvlJc w:val="left"/>
      <w:pPr>
        <w:ind w:left="2160" w:hanging="360"/>
      </w:pPr>
    </w:lvl>
    <w:lvl w:ilvl="6">
      <w:start w:val="1"/>
      <w:numFmt w:val="none"/>
      <w:lvlText w:val="·"/>
      <w:legacy w:legacy="1" w:legacySpace="0" w:legacyIndent="360"/>
      <w:lvlJc w:val="left"/>
      <w:pPr>
        <w:ind w:left="2520" w:hanging="360"/>
      </w:pPr>
    </w:lvl>
    <w:lvl w:ilvl="7">
      <w:start w:val="1"/>
      <w:numFmt w:val="none"/>
      <w:lvlText w:val="·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1" w15:restartNumberingAfterBreak="0">
    <w:nsid w:val="69A81491"/>
    <w:multiLevelType w:val="multilevel"/>
    <w:tmpl w:val="639A878C"/>
    <w:lvl w:ilvl="0">
      <w:start w:val="3"/>
      <w:numFmt w:val="decimal"/>
      <w:lvlText w:val="(%1)"/>
      <w:legacy w:legacy="1" w:legacySpace="0" w:legacyIndent="434"/>
      <w:lvlJc w:val="left"/>
      <w:pPr>
        <w:ind w:left="434" w:hanging="434"/>
      </w:pPr>
    </w:lvl>
    <w:lvl w:ilvl="1">
      <w:start w:val="1"/>
      <w:numFmt w:val="decimal"/>
      <w:lvlText w:val="(%2)"/>
      <w:legacy w:legacy="1" w:legacySpace="0" w:legacyIndent="434"/>
      <w:lvlJc w:val="left"/>
      <w:pPr>
        <w:ind w:left="868" w:hanging="434"/>
      </w:pPr>
    </w:lvl>
    <w:lvl w:ilvl="2">
      <w:start w:val="1"/>
      <w:numFmt w:val="decimal"/>
      <w:lvlText w:val="(%3)"/>
      <w:legacy w:legacy="1" w:legacySpace="0" w:legacyIndent="434"/>
      <w:lvlJc w:val="left"/>
      <w:pPr>
        <w:ind w:left="1302" w:hanging="434"/>
      </w:pPr>
    </w:lvl>
    <w:lvl w:ilvl="3">
      <w:start w:val="1"/>
      <w:numFmt w:val="decimal"/>
      <w:lvlText w:val="(%4)"/>
      <w:legacy w:legacy="1" w:legacySpace="0" w:legacyIndent="434"/>
      <w:lvlJc w:val="left"/>
      <w:pPr>
        <w:ind w:left="1736" w:hanging="434"/>
      </w:pPr>
    </w:lvl>
    <w:lvl w:ilvl="4">
      <w:start w:val="1"/>
      <w:numFmt w:val="decimal"/>
      <w:lvlText w:val="(%5)"/>
      <w:legacy w:legacy="1" w:legacySpace="0" w:legacyIndent="434"/>
      <w:lvlJc w:val="left"/>
      <w:pPr>
        <w:ind w:left="2170" w:hanging="434"/>
      </w:pPr>
    </w:lvl>
    <w:lvl w:ilvl="5">
      <w:start w:val="1"/>
      <w:numFmt w:val="decimal"/>
      <w:lvlText w:val="(%6)"/>
      <w:legacy w:legacy="1" w:legacySpace="0" w:legacyIndent="434"/>
      <w:lvlJc w:val="left"/>
      <w:pPr>
        <w:ind w:left="2604" w:hanging="434"/>
      </w:pPr>
    </w:lvl>
    <w:lvl w:ilvl="6">
      <w:start w:val="1"/>
      <w:numFmt w:val="decimal"/>
      <w:lvlText w:val="(%7)"/>
      <w:legacy w:legacy="1" w:legacySpace="0" w:legacyIndent="434"/>
      <w:lvlJc w:val="left"/>
      <w:pPr>
        <w:ind w:left="3038" w:hanging="434"/>
      </w:pPr>
    </w:lvl>
    <w:lvl w:ilvl="7">
      <w:start w:val="1"/>
      <w:numFmt w:val="decimal"/>
      <w:lvlText w:val="(%8)"/>
      <w:legacy w:legacy="1" w:legacySpace="0" w:legacyIndent="434"/>
      <w:lvlJc w:val="left"/>
      <w:pPr>
        <w:ind w:left="3472" w:hanging="434"/>
      </w:pPr>
    </w:lvl>
    <w:lvl w:ilvl="8">
      <w:start w:val="1"/>
      <w:numFmt w:val="lowerRoman"/>
      <w:lvlText w:val="%9"/>
      <w:legacy w:legacy="1" w:legacySpace="0" w:legacyIndent="434"/>
      <w:lvlJc w:val="left"/>
      <w:pPr>
        <w:ind w:left="3906" w:hanging="434"/>
      </w:pPr>
    </w:lvl>
  </w:abstractNum>
  <w:abstractNum w:abstractNumId="2" w15:restartNumberingAfterBreak="0">
    <w:nsid w:val="7DA04092"/>
    <w:multiLevelType w:val="multilevel"/>
    <w:tmpl w:val="F3AEF68E"/>
    <w:lvl w:ilvl="0">
      <w:start w:val="1"/>
      <w:numFmt w:val="lowerRoman"/>
      <w:lvlText w:val="(%1)"/>
      <w:legacy w:legacy="1" w:legacySpace="0" w:legacyIndent="1514"/>
      <w:lvlJc w:val="left"/>
      <w:pPr>
        <w:ind w:left="1514" w:hanging="1514"/>
      </w:pPr>
    </w:lvl>
    <w:lvl w:ilvl="1">
      <w:start w:val="1"/>
      <w:numFmt w:val="lowerRoman"/>
      <w:lvlText w:val="(%2)"/>
      <w:legacy w:legacy="1" w:legacySpace="0" w:legacyIndent="1514"/>
      <w:lvlJc w:val="left"/>
      <w:pPr>
        <w:ind w:left="3028" w:hanging="1514"/>
      </w:pPr>
    </w:lvl>
    <w:lvl w:ilvl="2">
      <w:start w:val="1"/>
      <w:numFmt w:val="lowerRoman"/>
      <w:lvlText w:val="(%3)"/>
      <w:legacy w:legacy="1" w:legacySpace="0" w:legacyIndent="1514"/>
      <w:lvlJc w:val="left"/>
      <w:pPr>
        <w:ind w:left="4542" w:hanging="1514"/>
      </w:pPr>
    </w:lvl>
    <w:lvl w:ilvl="3">
      <w:start w:val="1"/>
      <w:numFmt w:val="lowerRoman"/>
      <w:lvlText w:val="(%4)"/>
      <w:legacy w:legacy="1" w:legacySpace="0" w:legacyIndent="1514"/>
      <w:lvlJc w:val="left"/>
      <w:pPr>
        <w:ind w:left="6056" w:hanging="1514"/>
      </w:pPr>
    </w:lvl>
    <w:lvl w:ilvl="4">
      <w:start w:val="1"/>
      <w:numFmt w:val="lowerRoman"/>
      <w:lvlText w:val="(%5)"/>
      <w:legacy w:legacy="1" w:legacySpace="0" w:legacyIndent="1514"/>
      <w:lvlJc w:val="left"/>
      <w:pPr>
        <w:ind w:left="7570" w:hanging="1514"/>
      </w:pPr>
    </w:lvl>
    <w:lvl w:ilvl="5">
      <w:start w:val="1"/>
      <w:numFmt w:val="lowerRoman"/>
      <w:lvlText w:val="(%6)"/>
      <w:legacy w:legacy="1" w:legacySpace="0" w:legacyIndent="1514"/>
      <w:lvlJc w:val="left"/>
      <w:pPr>
        <w:ind w:left="9084" w:hanging="1514"/>
      </w:pPr>
    </w:lvl>
    <w:lvl w:ilvl="6">
      <w:start w:val="1"/>
      <w:numFmt w:val="lowerRoman"/>
      <w:lvlText w:val="(%7)"/>
      <w:legacy w:legacy="1" w:legacySpace="0" w:legacyIndent="1514"/>
      <w:lvlJc w:val="left"/>
      <w:pPr>
        <w:ind w:left="10598" w:hanging="1514"/>
      </w:pPr>
    </w:lvl>
    <w:lvl w:ilvl="7">
      <w:start w:val="1"/>
      <w:numFmt w:val="lowerRoman"/>
      <w:lvlText w:val="(%8)"/>
      <w:legacy w:legacy="1" w:legacySpace="0" w:legacyIndent="1514"/>
      <w:lvlJc w:val="left"/>
      <w:pPr>
        <w:ind w:left="12112" w:hanging="1514"/>
      </w:pPr>
    </w:lvl>
    <w:lvl w:ilvl="8">
      <w:start w:val="1"/>
      <w:numFmt w:val="lowerRoman"/>
      <w:lvlText w:val="%9"/>
      <w:legacy w:legacy="1" w:legacySpace="0" w:legacyIndent="1514"/>
      <w:lvlJc w:val="left"/>
      <w:pPr>
        <w:ind w:left="13626" w:hanging="151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33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FF"/>
    <w:rsid w:val="00906A60"/>
    <w:rsid w:val="00BE5BFF"/>
    <w:rsid w:val="00B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18768C-7495-46F0-86E0-D7D95D90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aragraph">
    <w:name w:val="1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Paragraph">
    <w:name w:val="2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Paragraph">
    <w:name w:val="3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Paragraph">
    <w:name w:val="4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Paragraph">
    <w:name w:val="5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Paragraph">
    <w:name w:val="6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Paragraph">
    <w:name w:val="7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Paragraph">
    <w:name w:val="8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1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2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3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4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5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6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7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3">
    <w:name w:val="8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12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22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32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42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52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62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72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82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1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3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4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5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1">
    <w:name w:val="6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7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8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DefaultPara">
    <w:name w:val="Default Para"/>
    <w:uiPriority w:val="99"/>
    <w:rPr>
      <w:lang w:val="en-US"/>
    </w:r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right" w:pos="5400"/>
      </w:tabs>
      <w:autoSpaceDE w:val="0"/>
      <w:autoSpaceDN w:val="0"/>
      <w:adjustRightInd w:val="0"/>
      <w:spacing w:after="0" w:line="240" w:lineRule="auto"/>
      <w:ind w:left="324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</w:tabs>
      <w:autoSpaceDE w:val="0"/>
      <w:autoSpaceDN w:val="0"/>
      <w:adjustRightInd w:val="0"/>
      <w:spacing w:after="0" w:line="240" w:lineRule="auto"/>
      <w:ind w:left="288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spacing w:after="0" w:line="240" w:lineRule="auto"/>
      <w:ind w:left="252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spacing w:after="0" w:line="240" w:lineRule="auto"/>
      <w:ind w:left="216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spacing w:after="0" w:line="240" w:lineRule="auto"/>
      <w:ind w:left="180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spacing w:after="0" w:line="240" w:lineRule="auto"/>
      <w:ind w:left="108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right" w:pos="5400"/>
      </w:tabs>
      <w:autoSpaceDE w:val="0"/>
      <w:autoSpaceDN w:val="0"/>
      <w:adjustRightInd w:val="0"/>
      <w:spacing w:after="0" w:line="240" w:lineRule="auto"/>
      <w:ind w:left="324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</w:tabs>
      <w:autoSpaceDE w:val="0"/>
      <w:autoSpaceDN w:val="0"/>
      <w:adjustRightInd w:val="0"/>
      <w:spacing w:after="0" w:line="240" w:lineRule="auto"/>
      <w:ind w:left="288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spacing w:after="0" w:line="240" w:lineRule="auto"/>
      <w:ind w:left="252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spacing w:after="0" w:line="240" w:lineRule="auto"/>
      <w:ind w:left="216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spacing w:after="0" w:line="240" w:lineRule="auto"/>
      <w:ind w:left="180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spacing w:after="0" w:line="240" w:lineRule="auto"/>
      <w:ind w:left="108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el9">
    <w:name w:val="_level9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right" w:pos="5400"/>
      </w:tabs>
      <w:autoSpaceDE w:val="0"/>
      <w:autoSpaceDN w:val="0"/>
      <w:adjustRightInd w:val="0"/>
      <w:spacing w:after="0" w:line="240" w:lineRule="auto"/>
      <w:ind w:left="324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el8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760"/>
      </w:tabs>
      <w:autoSpaceDE w:val="0"/>
      <w:autoSpaceDN w:val="0"/>
      <w:adjustRightInd w:val="0"/>
      <w:spacing w:after="0" w:line="240" w:lineRule="auto"/>
      <w:ind w:left="288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el7">
    <w:name w:val="_level7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right" w:pos="6120"/>
      </w:tabs>
      <w:autoSpaceDE w:val="0"/>
      <w:autoSpaceDN w:val="0"/>
      <w:adjustRightInd w:val="0"/>
      <w:spacing w:after="0" w:line="240" w:lineRule="auto"/>
      <w:ind w:left="252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el6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autoSpaceDE w:val="0"/>
      <w:autoSpaceDN w:val="0"/>
      <w:adjustRightInd w:val="0"/>
      <w:spacing w:after="0" w:line="240" w:lineRule="auto"/>
      <w:ind w:left="216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el5">
    <w:name w:val="_level5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</w:tabs>
      <w:autoSpaceDE w:val="0"/>
      <w:autoSpaceDN w:val="0"/>
      <w:adjustRightInd w:val="0"/>
      <w:spacing w:after="0" w:line="240" w:lineRule="auto"/>
      <w:ind w:left="180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el4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el3">
    <w:name w:val="_level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spacing w:after="0" w:line="240" w:lineRule="auto"/>
      <w:ind w:left="108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vel2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pshreena</dc:creator>
  <cp:keywords/>
  <dc:description/>
  <cp:lastModifiedBy>skenney</cp:lastModifiedBy>
  <cp:revision>2</cp:revision>
  <dcterms:created xsi:type="dcterms:W3CDTF">2019-03-12T14:54:00Z</dcterms:created>
  <dcterms:modified xsi:type="dcterms:W3CDTF">2019-03-12T14:54:00Z</dcterms:modified>
</cp:coreProperties>
</file>